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4" w:rsidRDefault="00910A84" w:rsidP="001660BC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C1558">
        <w:rPr>
          <w:rFonts w:ascii="Times New Roman" w:hAnsi="Times New Roman"/>
          <w:b/>
          <w:sz w:val="18"/>
          <w:szCs w:val="18"/>
        </w:rPr>
        <w:t>Критерии распределения средств</w:t>
      </w:r>
      <w:r w:rsidR="001660BC">
        <w:rPr>
          <w:rFonts w:ascii="Times New Roman" w:hAnsi="Times New Roman"/>
          <w:b/>
          <w:sz w:val="18"/>
          <w:szCs w:val="18"/>
        </w:rPr>
        <w:t xml:space="preserve"> </w:t>
      </w:r>
      <w:r w:rsidRPr="001C1558">
        <w:rPr>
          <w:rFonts w:ascii="Times New Roman" w:hAnsi="Times New Roman"/>
          <w:sz w:val="18"/>
          <w:szCs w:val="18"/>
        </w:rPr>
        <w:t>на стимулирование инновационной деятельности в 201</w:t>
      </w:r>
      <w:r w:rsidR="00D301E5" w:rsidRPr="001C1558">
        <w:rPr>
          <w:rFonts w:ascii="Times New Roman" w:hAnsi="Times New Roman"/>
          <w:sz w:val="18"/>
          <w:szCs w:val="18"/>
        </w:rPr>
        <w:t>7</w:t>
      </w:r>
      <w:r w:rsidRPr="001C1558">
        <w:rPr>
          <w:rFonts w:ascii="Times New Roman" w:hAnsi="Times New Roman"/>
          <w:sz w:val="18"/>
          <w:szCs w:val="18"/>
        </w:rPr>
        <w:t xml:space="preserve"> году</w:t>
      </w:r>
      <w:r w:rsidR="001660BC">
        <w:rPr>
          <w:rFonts w:ascii="Times New Roman" w:hAnsi="Times New Roman"/>
          <w:b/>
          <w:sz w:val="18"/>
          <w:szCs w:val="18"/>
        </w:rPr>
        <w:t xml:space="preserve"> </w:t>
      </w:r>
      <w:r w:rsidRPr="001C1558">
        <w:rPr>
          <w:rFonts w:ascii="Times New Roman" w:hAnsi="Times New Roman"/>
          <w:b/>
          <w:sz w:val="18"/>
          <w:szCs w:val="18"/>
        </w:rPr>
        <w:t>между педагогическими работниками</w:t>
      </w:r>
      <w:r w:rsidR="00D301E5" w:rsidRPr="001C1558">
        <w:rPr>
          <w:rFonts w:ascii="Times New Roman" w:hAnsi="Times New Roman"/>
          <w:sz w:val="18"/>
          <w:szCs w:val="18"/>
        </w:rPr>
        <w:t xml:space="preserve"> МБОУ «Саввушинская СОШ» </w:t>
      </w:r>
      <w:proofErr w:type="spellStart"/>
      <w:r w:rsidR="00D301E5" w:rsidRPr="001C1558">
        <w:rPr>
          <w:rFonts w:ascii="Times New Roman" w:hAnsi="Times New Roman"/>
          <w:sz w:val="18"/>
          <w:szCs w:val="18"/>
        </w:rPr>
        <w:t>Змеиногорского</w:t>
      </w:r>
      <w:proofErr w:type="spellEnd"/>
      <w:r w:rsidR="00D301E5" w:rsidRPr="001C1558">
        <w:rPr>
          <w:rFonts w:ascii="Times New Roman" w:hAnsi="Times New Roman"/>
          <w:sz w:val="18"/>
          <w:szCs w:val="18"/>
        </w:rPr>
        <w:t xml:space="preserve"> района</w:t>
      </w:r>
      <w:r w:rsidRPr="001C1558">
        <w:rPr>
          <w:rFonts w:ascii="Times New Roman" w:hAnsi="Times New Roman"/>
          <w:sz w:val="18"/>
          <w:szCs w:val="18"/>
        </w:rPr>
        <w:t>, в соответствии с заявленными направлениями расходования средств инновационного фонда</w:t>
      </w:r>
    </w:p>
    <w:p w:rsidR="00A4201A" w:rsidRPr="001660BC" w:rsidRDefault="00A4201A" w:rsidP="001660BC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ФИО___________________________________________________________________________________________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4820"/>
        <w:gridCol w:w="992"/>
      </w:tblGrid>
      <w:tr w:rsidR="00910A84" w:rsidRPr="001C1558" w:rsidTr="001660BC">
        <w:trPr>
          <w:trHeight w:val="246"/>
        </w:trPr>
        <w:tc>
          <w:tcPr>
            <w:tcW w:w="709" w:type="dxa"/>
            <w:vAlign w:val="center"/>
          </w:tcPr>
          <w:p w:rsidR="00910A84" w:rsidRPr="001C1558" w:rsidRDefault="00910A84" w:rsidP="001230A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15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155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C15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910A84" w:rsidRPr="001C1558" w:rsidRDefault="00910A84" w:rsidP="0012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4820" w:type="dxa"/>
            <w:vAlign w:val="center"/>
          </w:tcPr>
          <w:p w:rsidR="00910A84" w:rsidRPr="001C1558" w:rsidRDefault="00910A84" w:rsidP="0012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Индикатор</w:t>
            </w:r>
          </w:p>
        </w:tc>
        <w:tc>
          <w:tcPr>
            <w:tcW w:w="992" w:type="dxa"/>
            <w:vAlign w:val="center"/>
          </w:tcPr>
          <w:p w:rsidR="00910A84" w:rsidRPr="001C1558" w:rsidRDefault="001660BC" w:rsidP="0012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0A84" w:rsidRPr="001C1558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910A84" w:rsidRPr="001C1558" w:rsidTr="001C1558">
        <w:tc>
          <w:tcPr>
            <w:tcW w:w="11057" w:type="dxa"/>
            <w:gridSpan w:val="4"/>
          </w:tcPr>
          <w:p w:rsidR="00910A84" w:rsidRPr="001C1558" w:rsidRDefault="00910A84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. Развитие сетевого взаимодействия с организациями дошкольного,</w:t>
            </w:r>
          </w:p>
          <w:p w:rsidR="00910A84" w:rsidRPr="001C1558" w:rsidRDefault="00910A84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дополнительного, общего и профессионального образования и предоставление ресурсов для обучения всех учащихся (кадровых, материально-</w:t>
            </w:r>
            <w:r w:rsidR="00E62D36"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технических, информационно-мето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дических и др.) обеспечивающих создание условий, соответствующих ФГОС общего образования</w:t>
            </w:r>
          </w:p>
        </w:tc>
      </w:tr>
      <w:tr w:rsidR="00910A84" w:rsidRPr="001C1558" w:rsidTr="001C1558">
        <w:tc>
          <w:tcPr>
            <w:tcW w:w="709" w:type="dxa"/>
          </w:tcPr>
          <w:p w:rsidR="00910A84" w:rsidRPr="001C1558" w:rsidRDefault="00910A84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301E5" w:rsidRPr="001C1558" w:rsidRDefault="00910A84" w:rsidP="00D301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Организация педагогическим работником взаимодействия с дошкольными образовательными организациями</w:t>
            </w:r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301E5" w:rsidRPr="001C1558">
              <w:rPr>
                <w:rFonts w:ascii="Times New Roman" w:hAnsi="Times New Roman"/>
                <w:sz w:val="18"/>
                <w:szCs w:val="18"/>
              </w:rPr>
              <w:t>Змеиногорского</w:t>
            </w:r>
            <w:proofErr w:type="spellEnd"/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910A84" w:rsidRPr="001C1558" w:rsidRDefault="00D301E5" w:rsidP="00D301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(с </w:t>
            </w:r>
            <w:proofErr w:type="spellStart"/>
            <w:r w:rsidRPr="001C1558">
              <w:rPr>
                <w:rFonts w:ascii="Times New Roman" w:hAnsi="Times New Roman"/>
                <w:sz w:val="18"/>
                <w:szCs w:val="18"/>
              </w:rPr>
              <w:t>Саввушинским</w:t>
            </w:r>
            <w:proofErr w:type="spellEnd"/>
            <w:r w:rsidRPr="001C1558">
              <w:rPr>
                <w:rFonts w:ascii="Times New Roman" w:hAnsi="Times New Roman"/>
                <w:sz w:val="18"/>
                <w:szCs w:val="18"/>
              </w:rPr>
              <w:t xml:space="preserve"> детским садом до 31.05.2017 г, позже он будет относиться к </w:t>
            </w:r>
            <w:proofErr w:type="spellStart"/>
            <w:r w:rsidRPr="001C1558">
              <w:rPr>
                <w:rFonts w:ascii="Times New Roman" w:hAnsi="Times New Roman"/>
                <w:sz w:val="18"/>
                <w:szCs w:val="18"/>
              </w:rPr>
              <w:t>Саввушинской</w:t>
            </w:r>
            <w:proofErr w:type="spellEnd"/>
            <w:r w:rsidRPr="001C1558">
              <w:rPr>
                <w:rFonts w:ascii="Times New Roman" w:hAnsi="Times New Roman"/>
                <w:sz w:val="18"/>
                <w:szCs w:val="18"/>
              </w:rPr>
              <w:t xml:space="preserve"> школе)</w:t>
            </w:r>
          </w:p>
        </w:tc>
        <w:tc>
          <w:tcPr>
            <w:tcW w:w="4820" w:type="dxa"/>
          </w:tcPr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осуществляет взаимодействие с дошкольными организациями:</w:t>
            </w:r>
          </w:p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    участие педагога </w:t>
            </w:r>
            <w:proofErr w:type="gramStart"/>
            <w:r w:rsidRPr="001C155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C1558">
              <w:rPr>
                <w:rFonts w:ascii="Times New Roman" w:hAnsi="Times New Roman"/>
                <w:sz w:val="18"/>
                <w:szCs w:val="18"/>
              </w:rPr>
              <w:t>совместных</w:t>
            </w:r>
            <w:proofErr w:type="gramEnd"/>
            <w:r w:rsidRPr="001C1558">
              <w:rPr>
                <w:rFonts w:ascii="Times New Roman" w:hAnsi="Times New Roman"/>
                <w:sz w:val="18"/>
                <w:szCs w:val="18"/>
              </w:rPr>
              <w:t xml:space="preserve"> методических мероприятий по вопросам преемственности;</w:t>
            </w:r>
          </w:p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    проведение совместных мероприятий с дошкольниками 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праздников, дней открытых дверей, концертов и др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    участие и проведение информационных мероприятий 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собраний, встреч и др.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992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1 балл </w:t>
            </w: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</w:tc>
      </w:tr>
      <w:tr w:rsidR="00910A84" w:rsidRPr="001C1558" w:rsidTr="001C1558">
        <w:tc>
          <w:tcPr>
            <w:tcW w:w="709" w:type="dxa"/>
          </w:tcPr>
          <w:p w:rsidR="00910A84" w:rsidRPr="001C1558" w:rsidRDefault="00910A84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10A84" w:rsidRPr="001C1558" w:rsidRDefault="00910A84" w:rsidP="00D301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Эффективная деятельность педагогического работника в</w:t>
            </w:r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 рамках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301E5" w:rsidRPr="001C1558">
              <w:rPr>
                <w:rFonts w:ascii="Times New Roman" w:hAnsi="Times New Roman"/>
                <w:sz w:val="18"/>
                <w:szCs w:val="18"/>
              </w:rPr>
              <w:t>Змеиногорского</w:t>
            </w:r>
            <w:proofErr w:type="spellEnd"/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в методической работе </w:t>
            </w:r>
          </w:p>
        </w:tc>
        <w:tc>
          <w:tcPr>
            <w:tcW w:w="4820" w:type="dxa"/>
          </w:tcPr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выступление с опытом работы на </w:t>
            </w:r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районных 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методических мероприятиях 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семинары, конференции, круглые столы, мастер-классы и др.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910A84" w:rsidRPr="001C1558" w:rsidRDefault="00910A84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     1 мероприятие в год;</w:t>
            </w:r>
          </w:p>
          <w:p w:rsidR="00910A84" w:rsidRPr="001C1558" w:rsidRDefault="00910A84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     2-3 мероприятия в год</w:t>
            </w:r>
          </w:p>
        </w:tc>
        <w:tc>
          <w:tcPr>
            <w:tcW w:w="992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1E5" w:rsidRPr="001C1558" w:rsidRDefault="00D301E5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</w:tc>
      </w:tr>
      <w:tr w:rsidR="00910A84" w:rsidRPr="001C1558" w:rsidTr="001C1558">
        <w:tc>
          <w:tcPr>
            <w:tcW w:w="709" w:type="dxa"/>
          </w:tcPr>
          <w:p w:rsidR="00910A84" w:rsidRPr="001C1558" w:rsidRDefault="00910A84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10A84" w:rsidRPr="001C1558" w:rsidRDefault="00910A84" w:rsidP="005359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Эффективная деятельность педагогического работника в рамках </w:t>
            </w:r>
            <w:proofErr w:type="spellStart"/>
            <w:r w:rsidR="00D301E5" w:rsidRPr="001C1558">
              <w:rPr>
                <w:rFonts w:ascii="Times New Roman" w:hAnsi="Times New Roman"/>
                <w:sz w:val="18"/>
                <w:szCs w:val="18"/>
              </w:rPr>
              <w:t>Змеиногорского</w:t>
            </w:r>
            <w:proofErr w:type="spellEnd"/>
            <w:r w:rsidR="00D301E5" w:rsidRPr="001C1558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в совместных мероприяти</w:t>
            </w:r>
            <w:r w:rsidR="00535959" w:rsidRPr="001C1558">
              <w:rPr>
                <w:rFonts w:ascii="Times New Roman" w:hAnsi="Times New Roman"/>
                <w:sz w:val="18"/>
                <w:szCs w:val="18"/>
              </w:rPr>
              <w:t>ях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для учащихся </w:t>
            </w:r>
            <w:r w:rsidR="00535959" w:rsidRPr="001C1558">
              <w:rPr>
                <w:rFonts w:ascii="Times New Roman" w:hAnsi="Times New Roman"/>
                <w:sz w:val="18"/>
                <w:szCs w:val="18"/>
              </w:rPr>
              <w:t>школ района</w:t>
            </w:r>
          </w:p>
        </w:tc>
        <w:tc>
          <w:tcPr>
            <w:tcW w:w="4820" w:type="dxa"/>
          </w:tcPr>
          <w:p w:rsidR="00910A84" w:rsidRPr="001C1558" w:rsidRDefault="00910A84" w:rsidP="001230A1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участие в организации и проведении мероприятий для учащихся </w:t>
            </w:r>
            <w:proofErr w:type="spellStart"/>
            <w:r w:rsidR="00535959" w:rsidRPr="001C1558">
              <w:rPr>
                <w:rFonts w:ascii="Times New Roman" w:hAnsi="Times New Roman"/>
                <w:sz w:val="18"/>
                <w:szCs w:val="18"/>
              </w:rPr>
              <w:t>Змеиногорского</w:t>
            </w:r>
            <w:proofErr w:type="spellEnd"/>
            <w:r w:rsidR="00535959" w:rsidRPr="001C1558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конференции, конкурсы, соревнования, выставки, сетевые проекты, в том числе дистанционные и др.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910A84" w:rsidRPr="001C1558" w:rsidRDefault="00910A84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     1 мероприятие в год;</w:t>
            </w:r>
          </w:p>
          <w:p w:rsidR="00910A84" w:rsidRPr="001C1558" w:rsidRDefault="00910A84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     2-3 мероприятия в год</w:t>
            </w:r>
          </w:p>
        </w:tc>
        <w:tc>
          <w:tcPr>
            <w:tcW w:w="992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35959" w:rsidRDefault="00535959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1558" w:rsidRPr="001C1558" w:rsidRDefault="001C1558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</w:tc>
      </w:tr>
      <w:tr w:rsidR="00910A84" w:rsidRPr="001C1558" w:rsidTr="001C1558">
        <w:tc>
          <w:tcPr>
            <w:tcW w:w="709" w:type="dxa"/>
          </w:tcPr>
          <w:p w:rsidR="00910A84" w:rsidRPr="001C1558" w:rsidRDefault="00910A84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Наличие функционирующего, обновляемого сайта 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страницы на официальном школьном и иных профессиональных сайтах, сайтах профессиональных сообществ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) под руководством педагога по реализации проектной деятельности</w:t>
            </w:r>
          </w:p>
        </w:tc>
        <w:tc>
          <w:tcPr>
            <w:tcW w:w="4820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сайт успешно функционирует, регулярно обновляется 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не реже 2-3 раз в месяц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), на нем опубликована вся необходимая информация</w:t>
            </w:r>
          </w:p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A84" w:rsidRPr="001C1558" w:rsidRDefault="00910A84" w:rsidP="00123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10A84" w:rsidRPr="001C1558" w:rsidRDefault="00910A84" w:rsidP="00123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</w:tc>
      </w:tr>
      <w:tr w:rsidR="00910A84" w:rsidRPr="001C1558" w:rsidTr="001C1558">
        <w:tc>
          <w:tcPr>
            <w:tcW w:w="709" w:type="dxa"/>
          </w:tcPr>
          <w:p w:rsidR="00910A84" w:rsidRPr="001C1558" w:rsidRDefault="00910A84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10A84" w:rsidRPr="001C1558" w:rsidRDefault="00910A84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4820" w:type="dxa"/>
          </w:tcPr>
          <w:p w:rsidR="00910A84" w:rsidRPr="001C1558" w:rsidRDefault="00910A84" w:rsidP="005359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предоставление информационно-методических ресурсов через АИС для обучения всех учащихся </w:t>
            </w:r>
            <w:proofErr w:type="spellStart"/>
            <w:r w:rsidR="00535959" w:rsidRPr="001C1558">
              <w:rPr>
                <w:rFonts w:ascii="Times New Roman" w:hAnsi="Times New Roman"/>
                <w:sz w:val="18"/>
                <w:szCs w:val="18"/>
              </w:rPr>
              <w:t>Змеиногорского</w:t>
            </w:r>
            <w:proofErr w:type="spellEnd"/>
            <w:r w:rsidR="00535959" w:rsidRPr="001C1558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</w:tcPr>
          <w:p w:rsidR="00910A84" w:rsidRPr="001C1558" w:rsidRDefault="00910A84" w:rsidP="00123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A84" w:rsidRPr="001C1558" w:rsidRDefault="00910A84" w:rsidP="00123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</w:tc>
      </w:tr>
      <w:tr w:rsidR="00C91F4A" w:rsidRPr="001C1558" w:rsidTr="001C1558">
        <w:tc>
          <w:tcPr>
            <w:tcW w:w="709" w:type="dxa"/>
          </w:tcPr>
          <w:p w:rsidR="00C91F4A" w:rsidRPr="001C1558" w:rsidRDefault="00C91F4A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558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педагога к работе в качестве эксперта, члена жюри (аттестация, конкурсы и </w:t>
            </w:r>
            <w:proofErr w:type="spellStart"/>
            <w:proofErr w:type="gramStart"/>
            <w:r w:rsidRPr="001C1558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1C15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F4A" w:rsidRPr="001C1558" w:rsidTr="001C1558">
        <w:tc>
          <w:tcPr>
            <w:tcW w:w="11057" w:type="dxa"/>
            <w:gridSpan w:val="4"/>
          </w:tcPr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II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. Соответствие результатов государственной итоговой аттестации</w:t>
            </w:r>
          </w:p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выпускников 9 класса общеобразовательных организаций</w:t>
            </w:r>
          </w:p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среднекраевым</w:t>
            </w:r>
            <w:proofErr w:type="spellEnd"/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показателям</w:t>
            </w:r>
          </w:p>
        </w:tc>
      </w:tr>
      <w:tr w:rsidR="00C91F4A" w:rsidRPr="001C1558" w:rsidTr="001C1558">
        <w:tc>
          <w:tcPr>
            <w:tcW w:w="709" w:type="dxa"/>
          </w:tcPr>
          <w:p w:rsidR="00C91F4A" w:rsidRPr="001C1558" w:rsidRDefault="00C91F4A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Средний балл результатов ОГЭ обучающихся образовательной организации по обязательному предмету в текущем учебном году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1558">
              <w:rPr>
                <w:rFonts w:ascii="Times New Roman" w:hAnsi="Times New Roman"/>
                <w:sz w:val="18"/>
                <w:szCs w:val="18"/>
              </w:rPr>
              <w:t>(методика расчета:</w:t>
            </w:r>
            <w:proofErr w:type="gramEnd"/>
            <w:r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558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1C1558">
              <w:rPr>
                <w:rFonts w:ascii="Times New Roman" w:hAnsi="Times New Roman"/>
                <w:sz w:val="18"/>
                <w:szCs w:val="18"/>
                <w:vertAlign w:val="subscript"/>
              </w:rPr>
              <w:t>ср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= Σ </w:t>
            </w:r>
            <w:r w:rsidRPr="001C1558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proofErr w:type="spellStart"/>
            <w:r w:rsidRPr="001C1558">
              <w:rPr>
                <w:rFonts w:ascii="Times New Roman" w:hAnsi="Times New Roman"/>
                <w:sz w:val="18"/>
                <w:szCs w:val="18"/>
                <w:vertAlign w:val="subscript"/>
              </w:rPr>
              <w:t>инд</w:t>
            </w:r>
            <w:proofErr w:type="spellEnd"/>
            <w:r w:rsidRPr="001C1558">
              <w:rPr>
                <w:rFonts w:ascii="Times New Roman" w:hAnsi="Times New Roman"/>
                <w:sz w:val="18"/>
                <w:szCs w:val="18"/>
              </w:rPr>
              <w:t>/</w:t>
            </w:r>
            <w:r w:rsidRPr="001C155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, где </w:t>
            </w:r>
            <w:r w:rsidRPr="001C1558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proofErr w:type="spellStart"/>
            <w:r w:rsidRPr="001C1558">
              <w:rPr>
                <w:rFonts w:ascii="Times New Roman" w:hAnsi="Times New Roman"/>
                <w:sz w:val="18"/>
                <w:szCs w:val="18"/>
                <w:vertAlign w:val="subscript"/>
              </w:rPr>
              <w:t>инд</w:t>
            </w:r>
            <w:proofErr w:type="spellEnd"/>
            <w:r w:rsidRPr="001C155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– индивидуальный балл каждого учащегося ОО за ОГЭ по предмету в текущем году;  </w:t>
            </w:r>
            <w:r w:rsidRPr="001C155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– кол</w:t>
            </w:r>
            <w:r w:rsidR="001C1558" w:rsidRPr="001C1558">
              <w:rPr>
                <w:rFonts w:ascii="Times New Roman" w:hAnsi="Times New Roman"/>
                <w:sz w:val="18"/>
                <w:szCs w:val="18"/>
              </w:rPr>
              <w:t>ичество учащихся ОО, сдававших О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ГЭ по предмету в текущем году)</w:t>
            </w:r>
          </w:p>
        </w:tc>
        <w:tc>
          <w:tcPr>
            <w:tcW w:w="4820" w:type="dxa"/>
          </w:tcPr>
          <w:p w:rsidR="00C91F4A" w:rsidRPr="001C1558" w:rsidRDefault="00C91F4A" w:rsidP="001C1558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значение среднего балла по обязательному предмету выше среднего значения по муниципалитету</w:t>
            </w: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F4A" w:rsidRPr="001C1558" w:rsidTr="001C1558">
        <w:tc>
          <w:tcPr>
            <w:tcW w:w="709" w:type="dxa"/>
          </w:tcPr>
          <w:p w:rsidR="00C91F4A" w:rsidRPr="001C1558" w:rsidRDefault="00C91F4A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4820" w:type="dxa"/>
          </w:tcPr>
          <w:p w:rsidR="001C1558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40 %-49 % обучающихся; </w:t>
            </w:r>
          </w:p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1F4A" w:rsidRPr="001C1558" w:rsidTr="001C1558">
        <w:tc>
          <w:tcPr>
            <w:tcW w:w="11057" w:type="dxa"/>
            <w:gridSpan w:val="4"/>
          </w:tcPr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III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. Увеличение доли учащихся, сдавших ЕГЭ по выбору</w:t>
            </w:r>
          </w:p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по естественнонаучным дисциплинам (физика, химия, биология)</w:t>
            </w:r>
          </w:p>
        </w:tc>
      </w:tr>
      <w:tr w:rsidR="00C91F4A" w:rsidRPr="001C1558" w:rsidTr="001C1558">
        <w:tc>
          <w:tcPr>
            <w:tcW w:w="709" w:type="dxa"/>
          </w:tcPr>
          <w:p w:rsidR="00C91F4A" w:rsidRPr="001C1558" w:rsidRDefault="00C91F4A" w:rsidP="001230A1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Доля учащихся, сдавших ЕГЭ по выбору по естественнонаучным дисциплинам (</w:t>
            </w:r>
            <w:r w:rsidRPr="001C1558">
              <w:rPr>
                <w:rFonts w:ascii="Times New Roman" w:hAnsi="Times New Roman"/>
                <w:i/>
                <w:sz w:val="18"/>
                <w:szCs w:val="18"/>
              </w:rPr>
              <w:t>физика, химия, биология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до  20 % выпускников;</w:t>
            </w:r>
          </w:p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21 %-49 % выпускников;</w:t>
            </w:r>
          </w:p>
          <w:p w:rsidR="00C91F4A" w:rsidRPr="001C1558" w:rsidRDefault="00C91F4A" w:rsidP="001C1558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50 %-79 % выпускников</w:t>
            </w: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</w:tc>
      </w:tr>
      <w:tr w:rsidR="00C91F4A" w:rsidRPr="001C1558" w:rsidTr="001C1558">
        <w:tc>
          <w:tcPr>
            <w:tcW w:w="11057" w:type="dxa"/>
            <w:gridSpan w:val="4"/>
          </w:tcPr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IV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. Положительная динамика доли школьников, участвовавших</w:t>
            </w:r>
          </w:p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Pr="001C1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муниципальном туре всероссийской олимпиады школьников,</w:t>
            </w:r>
          </w:p>
          <w:p w:rsidR="00C91F4A" w:rsidRPr="001C1558" w:rsidRDefault="00C91F4A" w:rsidP="001230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C1558">
              <w:rPr>
                <w:rFonts w:ascii="Times New Roman" w:hAnsi="Times New Roman"/>
                <w:b/>
                <w:i/>
                <w:sz w:val="18"/>
                <w:szCs w:val="18"/>
              </w:rPr>
              <w:t>в региональном туре всероссийской олимпиады школьников</w:t>
            </w:r>
          </w:p>
        </w:tc>
      </w:tr>
      <w:tr w:rsidR="00C91F4A" w:rsidRPr="001C1558" w:rsidTr="001C1558">
        <w:tc>
          <w:tcPr>
            <w:tcW w:w="709" w:type="dxa"/>
          </w:tcPr>
          <w:p w:rsidR="00C91F4A" w:rsidRPr="001C1558" w:rsidRDefault="00C91F4A" w:rsidP="00C91F4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4820" w:type="dxa"/>
          </w:tcPr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увеличение доли школьни</w:t>
            </w:r>
            <w:r w:rsidR="001C1558">
              <w:rPr>
                <w:sz w:val="18"/>
                <w:szCs w:val="18"/>
              </w:rPr>
              <w:t>ков, принявших участие в ВОШ</w:t>
            </w:r>
          </w:p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в муниципальном этапе;</w:t>
            </w:r>
          </w:p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>увеличение доли школьников, ставших победителями и призерами  в ВОШ в муниципальном этапе</w:t>
            </w: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</w:tc>
      </w:tr>
      <w:tr w:rsidR="00C91F4A" w:rsidRPr="001C1558" w:rsidTr="001C1558">
        <w:trPr>
          <w:trHeight w:val="840"/>
        </w:trPr>
        <w:tc>
          <w:tcPr>
            <w:tcW w:w="709" w:type="dxa"/>
          </w:tcPr>
          <w:p w:rsidR="00C91F4A" w:rsidRPr="001C1558" w:rsidRDefault="00C91F4A" w:rsidP="00C91F4A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4820" w:type="dxa"/>
          </w:tcPr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1C1558">
              <w:rPr>
                <w:sz w:val="18"/>
                <w:szCs w:val="18"/>
              </w:rPr>
              <w:t>на</w:t>
            </w:r>
            <w:proofErr w:type="gramEnd"/>
            <w:r w:rsidRPr="001C1558">
              <w:rPr>
                <w:sz w:val="18"/>
                <w:szCs w:val="18"/>
              </w:rPr>
              <w:t>: до 40 %;</w:t>
            </w:r>
          </w:p>
          <w:p w:rsidR="00C91F4A" w:rsidRPr="001C1558" w:rsidRDefault="00C91F4A" w:rsidP="001230A1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C1558">
              <w:rPr>
                <w:sz w:val="18"/>
                <w:szCs w:val="18"/>
              </w:rPr>
              <w:t xml:space="preserve">     41 % и более</w:t>
            </w:r>
          </w:p>
        </w:tc>
        <w:tc>
          <w:tcPr>
            <w:tcW w:w="992" w:type="dxa"/>
          </w:tcPr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C91F4A" w:rsidRPr="001C1558" w:rsidRDefault="00C91F4A" w:rsidP="001230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558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</w:tc>
      </w:tr>
    </w:tbl>
    <w:p w:rsidR="00910A84" w:rsidRPr="001C1558" w:rsidRDefault="00910A84" w:rsidP="00910A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5AE2" w:rsidRPr="001660BC" w:rsidRDefault="001660BC">
      <w:pPr>
        <w:rPr>
          <w:rFonts w:ascii="Times New Roman" w:hAnsi="Times New Roman"/>
          <w:sz w:val="18"/>
          <w:szCs w:val="18"/>
        </w:rPr>
      </w:pPr>
      <w:r w:rsidRPr="001660BC">
        <w:rPr>
          <w:rFonts w:ascii="Times New Roman" w:hAnsi="Times New Roman"/>
          <w:sz w:val="18"/>
          <w:szCs w:val="18"/>
        </w:rPr>
        <w:t>Дата:                                                                                     Подпись</w:t>
      </w:r>
      <w:r>
        <w:rPr>
          <w:rFonts w:ascii="Times New Roman" w:hAnsi="Times New Roman"/>
          <w:sz w:val="18"/>
          <w:szCs w:val="18"/>
        </w:rPr>
        <w:t>:</w:t>
      </w:r>
    </w:p>
    <w:sectPr w:rsidR="00FF5AE2" w:rsidRPr="001660BC" w:rsidSect="00F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3FA"/>
    <w:multiLevelType w:val="hybridMultilevel"/>
    <w:tmpl w:val="52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28"/>
    <w:multiLevelType w:val="hybridMultilevel"/>
    <w:tmpl w:val="4710BB52"/>
    <w:lvl w:ilvl="0" w:tplc="2AF08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4F8F"/>
    <w:multiLevelType w:val="hybridMultilevel"/>
    <w:tmpl w:val="F00A49C8"/>
    <w:lvl w:ilvl="0" w:tplc="F72E4D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348003E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5DD26FF"/>
    <w:multiLevelType w:val="hybridMultilevel"/>
    <w:tmpl w:val="8D348EB0"/>
    <w:lvl w:ilvl="0" w:tplc="BFF22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C45F8"/>
    <w:multiLevelType w:val="hybridMultilevel"/>
    <w:tmpl w:val="05D6257A"/>
    <w:lvl w:ilvl="0" w:tplc="9E58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84"/>
    <w:rsid w:val="001660BC"/>
    <w:rsid w:val="001C1558"/>
    <w:rsid w:val="0026470A"/>
    <w:rsid w:val="002A6720"/>
    <w:rsid w:val="00535959"/>
    <w:rsid w:val="00550F6F"/>
    <w:rsid w:val="005A6D6F"/>
    <w:rsid w:val="00910A84"/>
    <w:rsid w:val="00A4201A"/>
    <w:rsid w:val="00A6729B"/>
    <w:rsid w:val="00B04FF4"/>
    <w:rsid w:val="00C91F4A"/>
    <w:rsid w:val="00D301E5"/>
    <w:rsid w:val="00DA19C3"/>
    <w:rsid w:val="00E62D36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0A8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10A84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10A84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A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0A8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0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910A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10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10A84"/>
  </w:style>
  <w:style w:type="paragraph" w:styleId="a6">
    <w:name w:val="List Paragraph"/>
    <w:basedOn w:val="a"/>
    <w:uiPriority w:val="34"/>
    <w:qFormat/>
    <w:rsid w:val="00910A8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1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A8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A8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0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910A8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1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10A84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2017-01-20T11:14:00Z</cp:lastPrinted>
  <dcterms:created xsi:type="dcterms:W3CDTF">2017-01-19T09:00:00Z</dcterms:created>
  <dcterms:modified xsi:type="dcterms:W3CDTF">2017-01-20T11:15:00Z</dcterms:modified>
</cp:coreProperties>
</file>